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574BC" w14:textId="77777777" w:rsidR="0033048C" w:rsidRPr="0033048C" w:rsidRDefault="0033048C" w:rsidP="0033048C">
      <w:pPr>
        <w:framePr w:w="9151" w:wrap="around" w:vAnchor="text" w:hAnchor="page" w:x="1486" w:y="136"/>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rFonts w:ascii="Calibri" w:hAnsi="Calibri" w:cs="Calibri"/>
          <w:b/>
        </w:rPr>
      </w:pPr>
      <w:r w:rsidRPr="0033048C">
        <w:rPr>
          <w:rFonts w:ascii="Calibri" w:eastAsia="MS Mincho" w:hAnsi="Calibri" w:cs="Calibri"/>
          <w:b/>
          <w:sz w:val="36"/>
          <w:szCs w:val="36"/>
        </w:rPr>
        <w:t>APPENDIX L</w:t>
      </w:r>
    </w:p>
    <w:p w14:paraId="622C35D3" w14:textId="77777777" w:rsidR="0033048C" w:rsidRPr="0033048C" w:rsidRDefault="0033048C" w:rsidP="0033048C">
      <w:pPr>
        <w:jc w:val="center"/>
        <w:rPr>
          <w:rFonts w:ascii="Calibri" w:eastAsia="MS Mincho" w:hAnsi="Calibri" w:cs="Calibri"/>
          <w:b/>
          <w:bCs/>
          <w:sz w:val="24"/>
          <w:szCs w:val="20"/>
        </w:rPr>
      </w:pPr>
    </w:p>
    <w:p w14:paraId="5519BE36" w14:textId="77777777" w:rsidR="0033048C" w:rsidRPr="0033048C" w:rsidRDefault="0033048C" w:rsidP="0033048C">
      <w:pPr>
        <w:jc w:val="center"/>
        <w:rPr>
          <w:rFonts w:ascii="Calibri" w:eastAsia="MS Mincho" w:hAnsi="Calibri" w:cs="Calibri"/>
          <w:sz w:val="28"/>
          <w:szCs w:val="28"/>
        </w:rPr>
      </w:pPr>
      <w:r w:rsidRPr="0033048C">
        <w:rPr>
          <w:rFonts w:ascii="Calibri" w:eastAsia="MS Mincho" w:hAnsi="Calibri" w:cs="Calibri"/>
          <w:b/>
          <w:bCs/>
          <w:sz w:val="28"/>
          <w:szCs w:val="28"/>
        </w:rPr>
        <w:t>Permitted Customary Part-time or Off-season Minor or Rural Enterprises</w:t>
      </w:r>
    </w:p>
    <w:p w14:paraId="57A3004C" w14:textId="77777777" w:rsidR="0033048C" w:rsidRPr="0033048C" w:rsidRDefault="0033048C" w:rsidP="0033048C">
      <w:pPr>
        <w:ind w:firstLine="720"/>
        <w:rPr>
          <w:rFonts w:ascii="Calibri" w:eastAsia="MS Mincho" w:hAnsi="Calibri" w:cs="Calibri"/>
          <w:sz w:val="24"/>
          <w:szCs w:val="20"/>
        </w:rPr>
      </w:pPr>
      <w:r w:rsidRPr="0033048C">
        <w:rPr>
          <w:rFonts w:ascii="Calibri" w:eastAsia="MS Mincho" w:hAnsi="Calibri" w:cs="Calibri"/>
          <w:sz w:val="24"/>
          <w:szCs w:val="20"/>
        </w:rPr>
        <w:t>Pursuant to State Regulations, Subchapter I, Section 138e.241, the County Board intends that agricultural conservation easements shall not prevent "customary part-time or off-season minor or rural enterprises and activities."  For purposes of definition, these are limited to the following:</w:t>
      </w:r>
    </w:p>
    <w:p w14:paraId="234F45EB"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1.  Direct sale to the public of agricultural products produced principally on the farm, provided that at least 50% of such products are produced by the farm operator.</w:t>
      </w:r>
    </w:p>
    <w:p w14:paraId="333A07D6"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2.  Any and all structures contributing to the production, primary processing, direct marketing and storage of agricultural products produced principally on the farm.</w:t>
      </w:r>
    </w:p>
    <w:p w14:paraId="544B70D0"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3.  Structures associated with the production of energy for use principally on the farm including wind, solar, hydroelectric, methane, wood, alcohol fuel and fossil fuel systems and structures and facilities for the storage and treatment of animal wastes.</w:t>
      </w:r>
    </w:p>
    <w:p w14:paraId="6D33ADC2"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4.  Structures and facilities associated with irrigation, farm pond improvements, and soil and water conservation practices including but not limited to wetland development or restoration, wildlife wetland habitat management, wildlife upland habitat management, and riparian forest buffer resource management systems used for erosion and sediment control and water quality improvement.   The State Agricultural Land Preservation Board approved and authorized on 7/13/00 the use of any conservation practice under the USDA CRP/CREP Programs as not violating the deed of agricultural conservation easement with respect to the restricted land provided the conservation plan allows for the implementation of any such conservation practices.</w:t>
      </w:r>
    </w:p>
    <w:p w14:paraId="729DCF47"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5.  The provision of services or production and sale, by persons in residence, of incidental agricultural goods, services, supplies, and repairs and/or the conduct of traditional trades and the production and sale of home occupation goods, arts and crafts, so long as these uses remain incidental to the agricultural and open space character of the farm and are limited to occupying residential and/or principally agricultural structures of the property; limited in site coverage to one-half of one percent of the area of the property.</w:t>
      </w:r>
    </w:p>
    <w:p w14:paraId="2B25D4E6"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6.  The accommodation of tourists and visitors within principally family residential and/or agricultural structures otherwise permitted under the law so long as the accommodation of tourists and visitors is undertaken as a part-time or off-season minor or rural enterprise and is incidental to the agricultural and open space character of the property.</w:t>
      </w:r>
    </w:p>
    <w:p w14:paraId="65654A01"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lastRenderedPageBreak/>
        <w:t>7.  Regulated hunting operations and the production and stocking of game birds so long as these uses remain incidental to the agricultural and open space character of the property.</w:t>
      </w:r>
    </w:p>
    <w:p w14:paraId="79D4E904"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 xml:space="preserve">8. Agricultural composting operations where at least 50% of the composted material is generated from on-farm agricultural activities associated with the farm operation.  All composting activities shall be in accordance with the approved conservation plan for the </w:t>
      </w:r>
    </w:p>
    <w:p w14:paraId="77FC4ACA"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subject land.  No more than 5%, not to exceed 5 acres, of the area covered by the conservation easement shall be used for agricultural composting.</w:t>
      </w:r>
    </w:p>
    <w:p w14:paraId="24CE2FD4" w14:textId="77777777" w:rsidR="0033048C" w:rsidRPr="0033048C" w:rsidRDefault="0033048C" w:rsidP="0033048C">
      <w:pPr>
        <w:ind w:left="720"/>
        <w:rPr>
          <w:rFonts w:ascii="Calibri" w:eastAsia="MS Mincho" w:hAnsi="Calibri" w:cs="Calibri"/>
          <w:sz w:val="24"/>
          <w:szCs w:val="20"/>
          <w:u w:val="single"/>
        </w:rPr>
      </w:pPr>
      <w:r w:rsidRPr="0033048C">
        <w:rPr>
          <w:rFonts w:ascii="Calibri" w:eastAsia="MS Mincho" w:hAnsi="Calibri" w:cs="Calibri"/>
          <w:sz w:val="24"/>
          <w:szCs w:val="20"/>
        </w:rPr>
        <w:t>9. Agriculture-related services or activities associated with customary part-time or off-season minor rural enterprises or activities incidental to agricultural production.  These services and activities are permissible as long as they remain incidental to the agricultural and open space character of the farm.   No excavating, paving, gravelling, construction of permanent structures or other activities that would diminish the productive capacity of the soils are permitted in connection with such activities.   Such activities include but are not limited to educational programs, corn mazes, harvest festivals, hay rides and farm tours.  The County Board reserves the right to review and approve these activities on a case-by-case basis.</w:t>
      </w:r>
    </w:p>
    <w:p w14:paraId="150DA904" w14:textId="77777777" w:rsidR="0033048C" w:rsidRPr="0033048C" w:rsidRDefault="0033048C" w:rsidP="0033048C">
      <w:pPr>
        <w:ind w:left="720"/>
        <w:rPr>
          <w:rFonts w:ascii="Calibri" w:eastAsia="MS Mincho" w:hAnsi="Calibri" w:cs="Calibri"/>
          <w:sz w:val="24"/>
          <w:szCs w:val="20"/>
        </w:rPr>
      </w:pPr>
      <w:r w:rsidRPr="0033048C">
        <w:rPr>
          <w:rFonts w:ascii="Calibri" w:eastAsia="MS Mincho" w:hAnsi="Calibri" w:cs="Calibri"/>
          <w:sz w:val="24"/>
          <w:szCs w:val="20"/>
        </w:rPr>
        <w:t>10. Other similar uses upon approval by the Sterling Raber Agricultural Land Preservation Board of Lehigh County, the State Agricultural Land Preservation Board, and in some cases, the Township Board of Supervisors/Commissioners.</w:t>
      </w:r>
    </w:p>
    <w:p w14:paraId="4819BF7E" w14:textId="77777777" w:rsidR="0033048C" w:rsidRPr="0033048C" w:rsidRDefault="0033048C" w:rsidP="0033048C">
      <w:pPr>
        <w:ind w:left="720"/>
        <w:rPr>
          <w:rFonts w:ascii="Calibri" w:eastAsia="MS Mincho" w:hAnsi="Calibri" w:cs="Calibri"/>
          <w:sz w:val="24"/>
          <w:szCs w:val="20"/>
        </w:rPr>
      </w:pPr>
    </w:p>
    <w:p w14:paraId="1ED411BA" w14:textId="77777777" w:rsidR="0033048C" w:rsidRPr="0033048C" w:rsidRDefault="0033048C" w:rsidP="0033048C">
      <w:pPr>
        <w:ind w:left="720"/>
        <w:jc w:val="center"/>
        <w:rPr>
          <w:rFonts w:ascii="Calibri" w:eastAsia="MS Mincho" w:hAnsi="Calibri" w:cs="Calibri"/>
          <w:sz w:val="24"/>
          <w:szCs w:val="20"/>
        </w:rPr>
      </w:pPr>
    </w:p>
    <w:p w14:paraId="48B8D4F3" w14:textId="77777777" w:rsidR="0033048C" w:rsidRPr="0033048C" w:rsidRDefault="0033048C" w:rsidP="0033048C">
      <w:pPr>
        <w:jc w:val="center"/>
        <w:rPr>
          <w:rFonts w:ascii="Calibri" w:eastAsia="MS Mincho" w:hAnsi="Calibri" w:cs="Calibri"/>
          <w:sz w:val="24"/>
          <w:szCs w:val="20"/>
        </w:rPr>
      </w:pPr>
    </w:p>
    <w:p w14:paraId="75CE59F2" w14:textId="77777777" w:rsidR="0033048C" w:rsidRPr="0033048C" w:rsidRDefault="0033048C" w:rsidP="0033048C">
      <w:pPr>
        <w:rPr>
          <w:rFonts w:ascii="Calibri" w:eastAsia="MS Mincho" w:hAnsi="Calibri" w:cs="Calibri"/>
          <w:b/>
          <w:bCs/>
          <w:sz w:val="24"/>
          <w:szCs w:val="20"/>
        </w:rPr>
      </w:pPr>
    </w:p>
    <w:p w14:paraId="085D99CB" w14:textId="77777777" w:rsidR="0033048C" w:rsidRPr="0033048C" w:rsidRDefault="0033048C" w:rsidP="0033048C">
      <w:pPr>
        <w:rPr>
          <w:rFonts w:ascii="Calibri" w:eastAsia="MS Mincho" w:hAnsi="Calibri" w:cs="Calibri"/>
          <w:b/>
          <w:bCs/>
          <w:sz w:val="24"/>
          <w:szCs w:val="20"/>
        </w:rPr>
      </w:pPr>
    </w:p>
    <w:p w14:paraId="09E1C469" w14:textId="77777777" w:rsidR="0033048C" w:rsidRPr="0033048C" w:rsidRDefault="0033048C" w:rsidP="0033048C">
      <w:pPr>
        <w:jc w:val="center"/>
        <w:rPr>
          <w:rFonts w:ascii="Calibri" w:eastAsia="MS Mincho" w:hAnsi="Calibri" w:cs="Calibri"/>
          <w:b/>
          <w:bCs/>
          <w:sz w:val="24"/>
          <w:szCs w:val="20"/>
        </w:rPr>
      </w:pPr>
    </w:p>
    <w:p w14:paraId="3538A472" w14:textId="77777777" w:rsidR="0033048C" w:rsidRPr="0033048C" w:rsidRDefault="0033048C" w:rsidP="0033048C">
      <w:pPr>
        <w:jc w:val="center"/>
        <w:rPr>
          <w:rFonts w:ascii="Calibri" w:eastAsia="MS Mincho" w:hAnsi="Calibri" w:cs="Calibri"/>
          <w:b/>
          <w:bCs/>
          <w:noProof/>
          <w:sz w:val="20"/>
          <w:szCs w:val="20"/>
        </w:rPr>
      </w:pPr>
    </w:p>
    <w:p w14:paraId="59097B03" w14:textId="77777777" w:rsidR="0033048C" w:rsidRPr="0033048C" w:rsidRDefault="0033048C" w:rsidP="0033048C">
      <w:pPr>
        <w:jc w:val="center"/>
        <w:rPr>
          <w:rFonts w:ascii="Calibri" w:eastAsia="MS Mincho" w:hAnsi="Calibri" w:cs="Calibri"/>
          <w:b/>
          <w:bCs/>
          <w:noProof/>
          <w:sz w:val="20"/>
          <w:szCs w:val="20"/>
        </w:rPr>
      </w:pPr>
    </w:p>
    <w:p w14:paraId="5BC0F482" w14:textId="77777777" w:rsidR="0033048C" w:rsidRPr="0033048C" w:rsidRDefault="0033048C" w:rsidP="0033048C">
      <w:pPr>
        <w:jc w:val="center"/>
        <w:rPr>
          <w:rFonts w:ascii="Calibri" w:eastAsia="MS Mincho" w:hAnsi="Calibri" w:cs="Calibri"/>
          <w:b/>
          <w:bCs/>
          <w:noProof/>
          <w:sz w:val="20"/>
          <w:szCs w:val="20"/>
        </w:rPr>
      </w:pPr>
    </w:p>
    <w:p w14:paraId="147117F0" w14:textId="77777777" w:rsidR="0033048C" w:rsidRPr="0033048C" w:rsidRDefault="0033048C" w:rsidP="0033048C">
      <w:pPr>
        <w:jc w:val="center"/>
        <w:rPr>
          <w:rFonts w:ascii="Calibri" w:eastAsia="MS Mincho" w:hAnsi="Calibri" w:cs="Calibri"/>
          <w:b/>
          <w:bCs/>
          <w:noProof/>
          <w:sz w:val="20"/>
          <w:szCs w:val="20"/>
        </w:rPr>
      </w:pPr>
    </w:p>
    <w:p w14:paraId="51B01D91" w14:textId="77777777" w:rsidR="0033048C" w:rsidRPr="0033048C" w:rsidRDefault="0033048C" w:rsidP="0033048C">
      <w:pPr>
        <w:jc w:val="center"/>
        <w:rPr>
          <w:rFonts w:ascii="Calibri" w:eastAsia="MS Mincho" w:hAnsi="Calibri" w:cs="Calibri"/>
          <w:b/>
          <w:bCs/>
          <w:noProof/>
          <w:sz w:val="20"/>
          <w:szCs w:val="20"/>
        </w:rPr>
      </w:pPr>
    </w:p>
    <w:p w14:paraId="6C6B132C" w14:textId="77777777" w:rsidR="0033048C" w:rsidRPr="0033048C" w:rsidRDefault="0033048C" w:rsidP="0033048C">
      <w:pPr>
        <w:jc w:val="center"/>
        <w:rPr>
          <w:rFonts w:ascii="Calibri" w:eastAsia="MS Mincho" w:hAnsi="Calibri" w:cs="Calibri"/>
          <w:b/>
          <w:bCs/>
          <w:noProof/>
          <w:sz w:val="20"/>
          <w:szCs w:val="20"/>
        </w:rPr>
      </w:pPr>
    </w:p>
    <w:p w14:paraId="2F7121E9"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C"/>
    <w:rsid w:val="0033048C"/>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9DCDD"/>
  <w15:chartTrackingRefBased/>
  <w15:docId w15:val="{5C61D0E7-7C62-402B-AE40-AA6AD861B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2022-04-25T19:52:00Z</dcterms:created>
  <dcterms:modified xsi:type="dcterms:W3CDTF">2022-04-25T19:53:00Z</dcterms:modified>
</cp:coreProperties>
</file>